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A4F9" w14:textId="0EDC27A3" w:rsidR="00512CAE" w:rsidRDefault="005B0E08" w:rsidP="005B0E08">
      <w:pPr>
        <w:jc w:val="center"/>
        <w:rPr>
          <w:u w:val="single"/>
        </w:rPr>
      </w:pPr>
      <w:r>
        <w:rPr>
          <w:u w:val="single"/>
        </w:rPr>
        <w:t>SUMMARY OF TENTATIVE AGREEMENT</w:t>
      </w:r>
    </w:p>
    <w:p w14:paraId="631977F3" w14:textId="625DD15B" w:rsidR="00E33EBC" w:rsidRDefault="00E33EBC" w:rsidP="005B0E08">
      <w:pPr>
        <w:jc w:val="center"/>
        <w:rPr>
          <w:u w:val="single"/>
        </w:rPr>
      </w:pPr>
      <w:r>
        <w:rPr>
          <w:u w:val="single"/>
        </w:rPr>
        <w:t>(see contract language for all changes)</w:t>
      </w:r>
    </w:p>
    <w:p w14:paraId="48A78459" w14:textId="27D5AA9B" w:rsidR="005B0E08" w:rsidRPr="005B0E08" w:rsidRDefault="005B0E08" w:rsidP="005B0E08">
      <w:pPr>
        <w:pStyle w:val="ListParagraph"/>
        <w:numPr>
          <w:ilvl w:val="0"/>
          <w:numId w:val="2"/>
        </w:numPr>
        <w:rPr>
          <w:u w:val="single"/>
        </w:rPr>
      </w:pPr>
      <w:r>
        <w:t>Seniority – tie-breaker procedure changed to include date and TIME of the appointment recommendation.</w:t>
      </w:r>
    </w:p>
    <w:p w14:paraId="1311A120" w14:textId="4F24018A" w:rsidR="005B0E08" w:rsidRPr="005B0E08" w:rsidRDefault="005B0E08" w:rsidP="005B0E08">
      <w:pPr>
        <w:pStyle w:val="ListParagraph"/>
        <w:numPr>
          <w:ilvl w:val="0"/>
          <w:numId w:val="2"/>
        </w:numPr>
        <w:rPr>
          <w:u w:val="single"/>
        </w:rPr>
      </w:pPr>
      <w:r>
        <w:t>Reduction In Force – Limited contract employees are subject to reduction based on evaluation categories (see below)</w:t>
      </w:r>
      <w:r w:rsidR="00E33EBC">
        <w:t xml:space="preserve"> with category 1 being reduced first, then category 2, and finally category 3</w:t>
      </w:r>
      <w:r>
        <w:t>. If they are in the same category, then seniority prevails. If necessary, reductions are made to certified staff based on evaluation categories. If they are in the same category, then seniority prevails.</w:t>
      </w:r>
    </w:p>
    <w:p w14:paraId="626B2E1F" w14:textId="002459E6" w:rsidR="005B0E08" w:rsidRDefault="005B0E08" w:rsidP="005B0E08">
      <w:pPr>
        <w:pStyle w:val="ListParagraph"/>
      </w:pPr>
      <w:r>
        <w:t>Category 1) ineffective; category 2) developing; category 3) accomplished and skilled.</w:t>
      </w:r>
    </w:p>
    <w:p w14:paraId="69A68C6B" w14:textId="15D719F2" w:rsidR="00E33EBC" w:rsidRDefault="00E33EBC" w:rsidP="005B0E08">
      <w:pPr>
        <w:pStyle w:val="ListParagraph"/>
      </w:pPr>
      <w:r>
        <w:t>*for purposes of RIF language skilled and accomplished are considered equal.</w:t>
      </w:r>
    </w:p>
    <w:p w14:paraId="242C3565" w14:textId="58BCF362" w:rsidR="00E33EBC" w:rsidRPr="00E33EBC" w:rsidRDefault="00E33EBC" w:rsidP="00E33EBC">
      <w:pPr>
        <w:pStyle w:val="ListParagraph"/>
        <w:numPr>
          <w:ilvl w:val="0"/>
          <w:numId w:val="2"/>
        </w:numPr>
        <w:rPr>
          <w:u w:val="single"/>
        </w:rPr>
      </w:pPr>
      <w:r>
        <w:t>Evaluation- there will be an evaluation committee composed of teachers and administrators to construct future evaluation languages. Teachers will receive an evaluation manual containing complete evaluation procedures.</w:t>
      </w:r>
    </w:p>
    <w:p w14:paraId="02F433B3" w14:textId="08D7063E" w:rsidR="00E33EBC" w:rsidRPr="00E33EBC" w:rsidRDefault="00E33EBC" w:rsidP="00E33EBC">
      <w:pPr>
        <w:pStyle w:val="ListParagraph"/>
        <w:numPr>
          <w:ilvl w:val="0"/>
          <w:numId w:val="2"/>
        </w:numPr>
        <w:rPr>
          <w:u w:val="single"/>
        </w:rPr>
      </w:pPr>
      <w:r>
        <w:t>Student behavior and Discipline – A committee will be formed by administrators and teachers to determine policies pertaining to student behavior and discipline.</w:t>
      </w:r>
    </w:p>
    <w:p w14:paraId="6110E162" w14:textId="5901A52D" w:rsidR="00E33EBC" w:rsidRPr="00886988" w:rsidRDefault="00E33EBC" w:rsidP="00E33EBC">
      <w:pPr>
        <w:pStyle w:val="ListParagraph"/>
        <w:numPr>
          <w:ilvl w:val="0"/>
          <w:numId w:val="2"/>
        </w:numPr>
        <w:rPr>
          <w:u w:val="single"/>
        </w:rPr>
      </w:pPr>
      <w:r>
        <w:t>Continuing contract – a teacher must have a current evaluation rating of skilled or accomplished to be eligible for a continuing contract. Teachers</w:t>
      </w:r>
      <w:r w:rsidR="00886988">
        <w:t xml:space="preserve">, </w:t>
      </w:r>
      <w:r w:rsidR="00B17867">
        <w:t>to</w:t>
      </w:r>
      <w:r w:rsidR="00886988">
        <w:t xml:space="preserve"> protect themselves,</w:t>
      </w:r>
      <w:r>
        <w:t xml:space="preserve"> may remove their request for a continuing contract by March 1</w:t>
      </w:r>
      <w:r w:rsidRPr="00E33EBC">
        <w:rPr>
          <w:vertAlign w:val="superscript"/>
        </w:rPr>
        <w:t>st</w:t>
      </w:r>
      <w:r>
        <w:t xml:space="preserve"> </w:t>
      </w:r>
    </w:p>
    <w:p w14:paraId="45505747" w14:textId="55FE67B9" w:rsidR="00886988" w:rsidRPr="0099357E" w:rsidRDefault="00886988" w:rsidP="00E33EBC">
      <w:pPr>
        <w:pStyle w:val="ListParagraph"/>
        <w:numPr>
          <w:ilvl w:val="0"/>
          <w:numId w:val="2"/>
        </w:numPr>
        <w:rPr>
          <w:u w:val="single"/>
        </w:rPr>
      </w:pPr>
      <w:r>
        <w:t>K-6 workday – Administration will be limited to two 35-minute meetings, within the student day, per month. These meetings must have a clear purpose and agenda.</w:t>
      </w:r>
    </w:p>
    <w:p w14:paraId="42A71534" w14:textId="387FFD14" w:rsidR="0099357E" w:rsidRPr="00886988" w:rsidRDefault="0099357E" w:rsidP="00E33EBC">
      <w:pPr>
        <w:pStyle w:val="ListParagraph"/>
        <w:numPr>
          <w:ilvl w:val="0"/>
          <w:numId w:val="2"/>
        </w:numPr>
        <w:rPr>
          <w:u w:val="single"/>
        </w:rPr>
      </w:pPr>
      <w:r>
        <w:t>7-8 workday – Core class teachers will teach 5 periods daily and have one academic support class. Core teachers will attend one 45-minute meeting weekly to meet with their team. Teachers outside of core classes will teach 6 periods daily but will not be required to attend team meetings.</w:t>
      </w:r>
    </w:p>
    <w:p w14:paraId="2FACB56B" w14:textId="74064F24" w:rsidR="00886988" w:rsidRPr="00AD60B5" w:rsidRDefault="00886988" w:rsidP="00E33EBC">
      <w:pPr>
        <w:pStyle w:val="ListParagraph"/>
        <w:numPr>
          <w:ilvl w:val="0"/>
          <w:numId w:val="2"/>
        </w:numPr>
        <w:rPr>
          <w:u w:val="single"/>
        </w:rPr>
      </w:pPr>
      <w:r>
        <w:t>9-12 workday - Administration will be limited to two 45-minute meetings, within the student day, per month. These meetings must have a clear purpose and agenda.</w:t>
      </w:r>
    </w:p>
    <w:p w14:paraId="76A40FD8" w14:textId="3C57E9C2" w:rsidR="00AD60B5" w:rsidRPr="00AD60B5" w:rsidRDefault="00AD60B5" w:rsidP="00AD60B5">
      <w:pPr>
        <w:pStyle w:val="ListParagraph"/>
        <w:numPr>
          <w:ilvl w:val="0"/>
          <w:numId w:val="2"/>
        </w:numPr>
        <w:rPr>
          <w:u w:val="single"/>
        </w:rPr>
      </w:pPr>
      <w:r>
        <w:t>Meetings – Teachers must attend 2 after school meetings, not to exceed a total of 240 minutes for the school year.</w:t>
      </w:r>
    </w:p>
    <w:p w14:paraId="5B1755D7" w14:textId="68F4AE23" w:rsidR="00886988" w:rsidRPr="0070613B" w:rsidRDefault="0070613B" w:rsidP="00E33EBC">
      <w:pPr>
        <w:pStyle w:val="ListParagraph"/>
        <w:numPr>
          <w:ilvl w:val="0"/>
          <w:numId w:val="2"/>
        </w:numPr>
        <w:rPr>
          <w:u w:val="single"/>
        </w:rPr>
      </w:pPr>
      <w:r>
        <w:t xml:space="preserve">Personal leave- All employees are entitled to three personal days a year with no restrictions on their use. Building administrators reserve the right to deny personal leave if 10% or more of the building staff is out on the requested day. </w:t>
      </w:r>
    </w:p>
    <w:p w14:paraId="03AE5786" w14:textId="533CECA7" w:rsidR="0070613B" w:rsidRPr="0070613B" w:rsidRDefault="0070613B" w:rsidP="00E33EBC">
      <w:pPr>
        <w:pStyle w:val="ListParagraph"/>
        <w:numPr>
          <w:ilvl w:val="0"/>
          <w:numId w:val="2"/>
        </w:numPr>
        <w:rPr>
          <w:u w:val="single"/>
        </w:rPr>
      </w:pPr>
      <w:r>
        <w:t xml:space="preserve">Bereavement leave – up to 3 sick days a year may be used for the purpose of bereavement of an immediate family member. </w:t>
      </w:r>
      <w:r w:rsidRPr="0070613B">
        <w:t xml:space="preserve">For purposes of this article, immediate family consists of the employee's spouse, parents, in-laws of the employee, children, </w:t>
      </w:r>
      <w:r w:rsidRPr="0070613B">
        <w:lastRenderedPageBreak/>
        <w:t xml:space="preserve">siblings, grandparents, grandchildren, or others residing in the employee's household. </w:t>
      </w:r>
      <w:r>
        <w:t xml:space="preserve">One day of sick leave may be used to bereave those not considered immediate family. </w:t>
      </w:r>
    </w:p>
    <w:p w14:paraId="04054CEE" w14:textId="72433835" w:rsidR="0070613B" w:rsidRDefault="0099357E" w:rsidP="00E33EBC">
      <w:pPr>
        <w:pStyle w:val="ListParagraph"/>
        <w:numPr>
          <w:ilvl w:val="0"/>
          <w:numId w:val="2"/>
        </w:numPr>
      </w:pPr>
      <w:r w:rsidRPr="0099357E">
        <w:t>Parental/paternity leave</w:t>
      </w:r>
      <w:r>
        <w:t xml:space="preserve"> – Employee may take up to 10 days after the addition (birth/adoption) of a child to their family. Some of these days may be taken directly following the addition of the child and the balance may be taken consecutively as long as they fall within a 100-day window after the addition.</w:t>
      </w:r>
    </w:p>
    <w:p w14:paraId="0E44A5CF" w14:textId="3F704C47" w:rsidR="0099357E" w:rsidRDefault="0099357E" w:rsidP="00E33EBC">
      <w:pPr>
        <w:pStyle w:val="ListParagraph"/>
        <w:numPr>
          <w:ilvl w:val="0"/>
          <w:numId w:val="2"/>
        </w:numPr>
      </w:pPr>
      <w:r>
        <w:t>Retirement – A one-time payment of $750 will be given to an employee who notifies the board in advance of retirement.</w:t>
      </w:r>
    </w:p>
    <w:p w14:paraId="5B66434E" w14:textId="23965014" w:rsidR="0099357E" w:rsidRDefault="0099357E" w:rsidP="00E33EBC">
      <w:pPr>
        <w:pStyle w:val="ListParagraph"/>
        <w:numPr>
          <w:ilvl w:val="0"/>
          <w:numId w:val="2"/>
        </w:numPr>
      </w:pPr>
      <w:r>
        <w:t>Salary – for the 2026-2027 school year the salary schedule will increase by 2%. For the 2027-2028 school year the salary schedule will increase by 2%.</w:t>
      </w:r>
    </w:p>
    <w:p w14:paraId="1D84FB93" w14:textId="14969F50" w:rsidR="004C2D3E" w:rsidRDefault="004C2D3E" w:rsidP="004C2D3E">
      <w:pPr>
        <w:pStyle w:val="ListParagraph"/>
        <w:numPr>
          <w:ilvl w:val="0"/>
          <w:numId w:val="2"/>
        </w:numPr>
      </w:pPr>
      <w:r>
        <w:t xml:space="preserve">Longevity bonus - </w:t>
      </w:r>
      <w:r w:rsidRPr="00B17867">
        <w:t>Each teacher who has 28-32 years of service in Ohio STRS will receive a $5,000 payment. This $5,000 payment will be made each year while the teacher is in the 28-32 year window,  for a maximum of five (5) years. </w:t>
      </w:r>
    </w:p>
    <w:p w14:paraId="6023F043" w14:textId="679CF41A" w:rsidR="0099357E" w:rsidRDefault="00B17867" w:rsidP="00E33EBC">
      <w:pPr>
        <w:pStyle w:val="ListParagraph"/>
        <w:numPr>
          <w:ilvl w:val="0"/>
          <w:numId w:val="2"/>
        </w:numPr>
      </w:pPr>
      <w:r>
        <w:t>Supplementals – Supplemental pay will remain the same for 2026-2027. A supplemental committee will evaluate positions to be completed in time for the 2027-2028 school year.</w:t>
      </w:r>
    </w:p>
    <w:p w14:paraId="375905FB" w14:textId="1EAE5DF4" w:rsidR="00B17867" w:rsidRDefault="00B17867" w:rsidP="00E33EBC">
      <w:pPr>
        <w:pStyle w:val="ListParagraph"/>
        <w:numPr>
          <w:ilvl w:val="0"/>
          <w:numId w:val="2"/>
        </w:numPr>
      </w:pPr>
      <w:r>
        <w:t>Rates of pay: curriculum rate: $40/hour, summer:$25/hour, overnight:$100/night.</w:t>
      </w:r>
    </w:p>
    <w:p w14:paraId="61466610" w14:textId="7B66CB15" w:rsidR="00B17867" w:rsidRDefault="00B17867" w:rsidP="00E33EBC">
      <w:pPr>
        <w:pStyle w:val="ListParagraph"/>
        <w:numPr>
          <w:ilvl w:val="0"/>
          <w:numId w:val="2"/>
        </w:numPr>
      </w:pPr>
      <w:r>
        <w:t>5-star district bonus – If Lakota receives a 5-star rating, all certified staff with receive a one-time $1,000 bonus.</w:t>
      </w:r>
    </w:p>
    <w:p w14:paraId="0F8D2E9E" w14:textId="77777777" w:rsidR="00B17867" w:rsidRPr="0099357E" w:rsidRDefault="00B17867" w:rsidP="00B17867"/>
    <w:sectPr w:rsidR="00B17867" w:rsidRPr="0099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9F0"/>
    <w:multiLevelType w:val="hybridMultilevel"/>
    <w:tmpl w:val="F7D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77795"/>
    <w:multiLevelType w:val="hybridMultilevel"/>
    <w:tmpl w:val="2B6C5660"/>
    <w:lvl w:ilvl="0" w:tplc="5E3E0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853335">
    <w:abstractNumId w:val="1"/>
  </w:num>
  <w:num w:numId="2" w16cid:durableId="174633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AE"/>
    <w:rsid w:val="002442A2"/>
    <w:rsid w:val="004C2D3E"/>
    <w:rsid w:val="00512CAE"/>
    <w:rsid w:val="005B0E08"/>
    <w:rsid w:val="005C2CAB"/>
    <w:rsid w:val="0070613B"/>
    <w:rsid w:val="00886988"/>
    <w:rsid w:val="0099357E"/>
    <w:rsid w:val="00AD60B5"/>
    <w:rsid w:val="00B17867"/>
    <w:rsid w:val="00E3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BCEC"/>
  <w15:chartTrackingRefBased/>
  <w15:docId w15:val="{26B0CCCD-5734-4A76-96F9-231D263A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CAE"/>
    <w:rPr>
      <w:rFonts w:eastAsiaTheme="majorEastAsia" w:cstheme="majorBidi"/>
      <w:color w:val="272727" w:themeColor="text1" w:themeTint="D8"/>
    </w:rPr>
  </w:style>
  <w:style w:type="paragraph" w:styleId="Title">
    <w:name w:val="Title"/>
    <w:basedOn w:val="Normal"/>
    <w:next w:val="Normal"/>
    <w:link w:val="TitleChar"/>
    <w:uiPriority w:val="10"/>
    <w:qFormat/>
    <w:rsid w:val="0051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CAE"/>
    <w:pPr>
      <w:spacing w:before="160"/>
      <w:jc w:val="center"/>
    </w:pPr>
    <w:rPr>
      <w:i/>
      <w:iCs/>
      <w:color w:val="404040" w:themeColor="text1" w:themeTint="BF"/>
    </w:rPr>
  </w:style>
  <w:style w:type="character" w:customStyle="1" w:styleId="QuoteChar">
    <w:name w:val="Quote Char"/>
    <w:basedOn w:val="DefaultParagraphFont"/>
    <w:link w:val="Quote"/>
    <w:uiPriority w:val="29"/>
    <w:rsid w:val="00512CAE"/>
    <w:rPr>
      <w:i/>
      <w:iCs/>
      <w:color w:val="404040" w:themeColor="text1" w:themeTint="BF"/>
    </w:rPr>
  </w:style>
  <w:style w:type="paragraph" w:styleId="ListParagraph">
    <w:name w:val="List Paragraph"/>
    <w:basedOn w:val="Normal"/>
    <w:uiPriority w:val="34"/>
    <w:qFormat/>
    <w:rsid w:val="00512CAE"/>
    <w:pPr>
      <w:ind w:left="720"/>
      <w:contextualSpacing/>
    </w:pPr>
  </w:style>
  <w:style w:type="character" w:styleId="IntenseEmphasis">
    <w:name w:val="Intense Emphasis"/>
    <w:basedOn w:val="DefaultParagraphFont"/>
    <w:uiPriority w:val="21"/>
    <w:qFormat/>
    <w:rsid w:val="00512CAE"/>
    <w:rPr>
      <w:i/>
      <w:iCs/>
      <w:color w:val="2F5496" w:themeColor="accent1" w:themeShade="BF"/>
    </w:rPr>
  </w:style>
  <w:style w:type="paragraph" w:styleId="IntenseQuote">
    <w:name w:val="Intense Quote"/>
    <w:basedOn w:val="Normal"/>
    <w:next w:val="Normal"/>
    <w:link w:val="IntenseQuoteChar"/>
    <w:uiPriority w:val="30"/>
    <w:qFormat/>
    <w:rsid w:val="00512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CAE"/>
    <w:rPr>
      <w:i/>
      <w:iCs/>
      <w:color w:val="2F5496" w:themeColor="accent1" w:themeShade="BF"/>
    </w:rPr>
  </w:style>
  <w:style w:type="character" w:styleId="IntenseReference">
    <w:name w:val="Intense Reference"/>
    <w:basedOn w:val="DefaultParagraphFont"/>
    <w:uiPriority w:val="32"/>
    <w:qFormat/>
    <w:rsid w:val="00512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Moody</dc:creator>
  <cp:keywords/>
  <dc:description/>
  <cp:lastModifiedBy>Mark Moody</cp:lastModifiedBy>
  <cp:revision>3</cp:revision>
  <dcterms:created xsi:type="dcterms:W3CDTF">2026-05-16T15:53:00Z</dcterms:created>
  <dcterms:modified xsi:type="dcterms:W3CDTF">2026-05-16T20:12:00Z</dcterms:modified>
</cp:coreProperties>
</file>